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C1C1" w14:textId="7D419DF2" w:rsidR="00676489" w:rsidRPr="00FE0462" w:rsidRDefault="00FE0462" w:rsidP="004963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Capstone </w:t>
      </w:r>
      <w:r w:rsidR="00676489" w:rsidRPr="00FE0462">
        <w:rPr>
          <w:b/>
          <w:bCs/>
          <w:sz w:val="32"/>
          <w:szCs w:val="32"/>
        </w:rPr>
        <w:t xml:space="preserve">Compliance </w:t>
      </w:r>
      <w:r>
        <w:rPr>
          <w:b/>
          <w:bCs/>
          <w:sz w:val="32"/>
          <w:szCs w:val="32"/>
        </w:rPr>
        <w:t>Portal</w:t>
      </w:r>
      <w:r w:rsidR="00676489" w:rsidRPr="00FE0462">
        <w:rPr>
          <w:b/>
          <w:bCs/>
          <w:sz w:val="32"/>
          <w:szCs w:val="32"/>
        </w:rPr>
        <w:t xml:space="preserve"> </w:t>
      </w:r>
    </w:p>
    <w:p w14:paraId="460BAED1" w14:textId="77777777" w:rsidR="00E82873" w:rsidRPr="00E82873" w:rsidRDefault="00E82873" w:rsidP="000E50D3">
      <w:pPr>
        <w:rPr>
          <w:b/>
          <w:bCs/>
          <w:sz w:val="14"/>
          <w:szCs w:val="14"/>
          <w:u w:val="single"/>
        </w:rPr>
      </w:pPr>
    </w:p>
    <w:p w14:paraId="01ABEC10" w14:textId="2DF8BC15" w:rsidR="00DC2BAA" w:rsidRDefault="00987AE6" w:rsidP="00501B22">
      <w:r w:rsidRPr="00987AE6">
        <w:t xml:space="preserve">Capstone </w:t>
      </w:r>
      <w:r>
        <w:t xml:space="preserve">Logistics </w:t>
      </w:r>
      <w:r w:rsidRPr="00987AE6">
        <w:t xml:space="preserve">is </w:t>
      </w:r>
      <w:r>
        <w:t>UNFI’s 3</w:t>
      </w:r>
      <w:r w:rsidRPr="00987AE6">
        <w:rPr>
          <w:vertAlign w:val="superscript"/>
        </w:rPr>
        <w:t>rd</w:t>
      </w:r>
      <w:r>
        <w:t xml:space="preserve"> Party unloading and dock management partner.  They offer a</w:t>
      </w:r>
      <w:r w:rsidR="00514218">
        <w:t>ccess to a</w:t>
      </w:r>
      <w:r>
        <w:t xml:space="preserve"> </w:t>
      </w:r>
      <w:r w:rsidR="00EC6198">
        <w:t xml:space="preserve">Supplier </w:t>
      </w:r>
      <w:r w:rsidR="000E50D3" w:rsidRPr="000E50D3">
        <w:t xml:space="preserve">Compliance </w:t>
      </w:r>
      <w:r w:rsidR="00514218">
        <w:t>Portal.</w:t>
      </w:r>
      <w:r w:rsidR="000E50D3" w:rsidRPr="000E50D3">
        <w:t xml:space="preserve"> </w:t>
      </w:r>
      <w:r w:rsidR="00880E46">
        <w:t xml:space="preserve"> </w:t>
      </w:r>
      <w:r w:rsidR="00EC6198">
        <w:t>The portal provides transparency to real time</w:t>
      </w:r>
      <w:r w:rsidR="00DC2BAA">
        <w:t xml:space="preserve"> and historical </w:t>
      </w:r>
      <w:r w:rsidR="00EC6198">
        <w:t>data</w:t>
      </w:r>
      <w:r w:rsidR="002320C5">
        <w:t>, pictures,</w:t>
      </w:r>
      <w:r w:rsidR="00EC6198">
        <w:t xml:space="preserve"> </w:t>
      </w:r>
      <w:r w:rsidR="002320C5">
        <w:t xml:space="preserve">and </w:t>
      </w:r>
      <w:r w:rsidR="00DC2BAA">
        <w:t xml:space="preserve">supplier </w:t>
      </w:r>
      <w:r w:rsidR="00EC6198">
        <w:t>reporting</w:t>
      </w:r>
      <w:r w:rsidR="00DC2BAA">
        <w:t xml:space="preserve"> designed to help manage compliance chargebacks.</w:t>
      </w:r>
      <w:r w:rsidR="00831FEC">
        <w:t xml:space="preserve">  There is no charge for access to the Compliance portal.</w:t>
      </w:r>
    </w:p>
    <w:p w14:paraId="3DE78D4E" w14:textId="77777777" w:rsidR="00822F40" w:rsidRPr="00822F40" w:rsidRDefault="00822F40" w:rsidP="00501B22">
      <w:pPr>
        <w:rPr>
          <w:sz w:val="4"/>
          <w:szCs w:val="4"/>
        </w:rPr>
      </w:pPr>
    </w:p>
    <w:p w14:paraId="7446FCE4" w14:textId="40F4B892" w:rsidR="000E50D3" w:rsidRDefault="00EC6198" w:rsidP="00501B22">
      <w:r>
        <w:t xml:space="preserve">Efficient receiving practices improve </w:t>
      </w:r>
      <w:r w:rsidR="000E50D3" w:rsidRPr="000E50D3">
        <w:t>productiv</w:t>
      </w:r>
      <w:r>
        <w:t>ity</w:t>
      </w:r>
      <w:r w:rsidR="000E50D3" w:rsidRPr="000E50D3">
        <w:t xml:space="preserve">, </w:t>
      </w:r>
      <w:r>
        <w:t xml:space="preserve">product quality, </w:t>
      </w:r>
      <w:r w:rsidR="000E50D3" w:rsidRPr="000E50D3">
        <w:t>safe</w:t>
      </w:r>
      <w:r>
        <w:t>ty of our associates</w:t>
      </w:r>
      <w:r w:rsidR="00020573">
        <w:t>,</w:t>
      </w:r>
      <w:r w:rsidR="00831FEC">
        <w:t xml:space="preserve"> </w:t>
      </w:r>
      <w:r>
        <w:t>and completeness of purchase orders</w:t>
      </w:r>
      <w:r w:rsidR="002320C5">
        <w:t>.</w:t>
      </w:r>
      <w:r w:rsidR="000E50D3" w:rsidRPr="000E50D3">
        <w:t xml:space="preserve"> </w:t>
      </w:r>
    </w:p>
    <w:p w14:paraId="57C80DDF" w14:textId="77777777" w:rsidR="00822F40" w:rsidRPr="00822F40" w:rsidRDefault="00822F40" w:rsidP="00501B22">
      <w:pPr>
        <w:rPr>
          <w:sz w:val="4"/>
          <w:szCs w:val="4"/>
        </w:rPr>
      </w:pPr>
    </w:p>
    <w:p w14:paraId="0D752487" w14:textId="5BC338A0" w:rsidR="00837E7E" w:rsidRPr="00683E0C" w:rsidRDefault="00837E7E" w:rsidP="00501B22">
      <w:r w:rsidRPr="00822F40">
        <w:t>To Access</w:t>
      </w:r>
      <w:r w:rsidR="00F76C94">
        <w:t xml:space="preserve"> the</w:t>
      </w:r>
      <w:r w:rsidRPr="00822F40">
        <w:t xml:space="preserve"> Compliance Portal</w:t>
      </w:r>
      <w:r w:rsidR="00822F40" w:rsidRPr="00822F40">
        <w:t>, v</w:t>
      </w:r>
      <w:r w:rsidRPr="00822F40">
        <w:t>isit</w:t>
      </w:r>
      <w:r w:rsidRPr="00683E0C">
        <w:t xml:space="preserve"> </w:t>
      </w:r>
      <w:hyperlink r:id="rId7" w:tgtFrame="_new" w:history="1">
        <w:r w:rsidRPr="004945FB">
          <w:rPr>
            <w:rStyle w:val="Hyperlink"/>
            <w:i/>
            <w:iCs/>
            <w:color w:val="70AD47" w:themeColor="accent6"/>
          </w:rPr>
          <w:t>https://complianceportal.capstonelogistics.com/</w:t>
        </w:r>
      </w:hyperlink>
      <w:r w:rsidR="00F76C94">
        <w:t>.</w:t>
      </w:r>
      <w:r>
        <w:t xml:space="preserve"> </w:t>
      </w:r>
      <w:r w:rsidR="00F76C94">
        <w:t xml:space="preserve"> </w:t>
      </w:r>
      <w:r>
        <w:t>Clic</w:t>
      </w:r>
      <w:r w:rsidRPr="00683E0C">
        <w:t>k</w:t>
      </w:r>
      <w:r w:rsidR="00F76C94">
        <w:t xml:space="preserve"> the</w:t>
      </w:r>
      <w:r w:rsidRPr="00683E0C">
        <w:t xml:space="preserve"> "Apply for a new account" link.</w:t>
      </w:r>
      <w:r>
        <w:t xml:space="preserve"> </w:t>
      </w:r>
      <w:r w:rsidR="00F76C94">
        <w:t xml:space="preserve"> </w:t>
      </w:r>
      <w:r>
        <w:t>Enter</w:t>
      </w:r>
      <w:r w:rsidRPr="00683E0C">
        <w:t xml:space="preserve"> your email address</w:t>
      </w:r>
      <w:r>
        <w:t>,</w:t>
      </w:r>
      <w:r w:rsidR="00F76C94">
        <w:t xml:space="preserve"> and</w:t>
      </w:r>
      <w:r>
        <w:t xml:space="preserve"> then verify your account.  A</w:t>
      </w:r>
      <w:r w:rsidRPr="006D2757">
        <w:t xml:space="preserve"> verification code will be sent to your email for confirmation. </w:t>
      </w:r>
      <w:r w:rsidR="00F76C94">
        <w:t xml:space="preserve"> </w:t>
      </w:r>
      <w:r w:rsidRPr="006D2757">
        <w:t xml:space="preserve">Upon successful </w:t>
      </w:r>
      <w:r>
        <w:t>completion</w:t>
      </w:r>
      <w:r w:rsidRPr="006D2757">
        <w:t xml:space="preserve">, </w:t>
      </w:r>
      <w:r>
        <w:t>complete all necessary information on the</w:t>
      </w:r>
      <w:r w:rsidRPr="006D2757">
        <w:t xml:space="preserve"> registration form</w:t>
      </w:r>
      <w:r>
        <w:t>.</w:t>
      </w:r>
    </w:p>
    <w:p w14:paraId="2DAD789B" w14:textId="77777777" w:rsidR="00822F40" w:rsidRPr="00822F40" w:rsidRDefault="00822F40" w:rsidP="00501B22">
      <w:pPr>
        <w:rPr>
          <w:sz w:val="4"/>
          <w:szCs w:val="4"/>
        </w:rPr>
      </w:pPr>
    </w:p>
    <w:p w14:paraId="77E61DE4" w14:textId="741C6225" w:rsidR="00837E7E" w:rsidRPr="004945FB" w:rsidRDefault="00837E7E" w:rsidP="00E82873">
      <w:r w:rsidRPr="00992816">
        <w:t>After completing the above step on the capstone website, please email</w:t>
      </w:r>
      <w:r>
        <w:t>:</w:t>
      </w:r>
      <w:r w:rsidRPr="00992816">
        <w:t xml:space="preserve"> </w:t>
      </w:r>
      <w:r w:rsidRPr="004945FB">
        <w:rPr>
          <w:color w:val="70AD47" w:themeColor="accent6"/>
          <w:u w:val="single"/>
        </w:rPr>
        <w:t>supplieropsmgrs@unfi.com</w:t>
      </w:r>
      <w:r w:rsidRPr="00992816">
        <w:t xml:space="preserve">, </w:t>
      </w:r>
      <w:r>
        <w:t xml:space="preserve">with a copy of your finalized </w:t>
      </w:r>
      <w:r w:rsidRPr="00837E7E">
        <w:rPr>
          <w:u w:val="single"/>
        </w:rPr>
        <w:t>Capstone Compliance Access Template</w:t>
      </w:r>
      <w:r>
        <w:rPr>
          <w:u w:val="single"/>
        </w:rPr>
        <w:t>.</w:t>
      </w:r>
      <w:r w:rsidRPr="00837E7E">
        <w:t xml:space="preserve">  </w:t>
      </w:r>
      <w:r>
        <w:t xml:space="preserve">Registration will be processed within 2 business days.  </w:t>
      </w:r>
    </w:p>
    <w:p w14:paraId="40E42C36" w14:textId="7E35FADE" w:rsidR="00E82873" w:rsidRDefault="004963CD" w:rsidP="00E82873">
      <w:pPr>
        <w:rPr>
          <w:b/>
          <w:bCs/>
          <w:u w:val="single"/>
        </w:rPr>
      </w:pPr>
      <w:r w:rsidRPr="004963CD">
        <w:rPr>
          <w:b/>
          <w:bCs/>
          <w:u w:val="single"/>
        </w:rPr>
        <w:t>Compliance Types:</w:t>
      </w:r>
      <w:r w:rsidR="00DB3448">
        <w:rPr>
          <w:b/>
          <w:bCs/>
          <w:u w:val="single"/>
        </w:rPr>
        <w:t xml:space="preserve"> </w:t>
      </w:r>
    </w:p>
    <w:tbl>
      <w:tblPr>
        <w:tblStyle w:val="TableGrid"/>
        <w:tblW w:w="9715" w:type="dxa"/>
        <w:tblInd w:w="0" w:type="dxa"/>
        <w:tblLook w:val="04A0" w:firstRow="1" w:lastRow="0" w:firstColumn="1" w:lastColumn="0" w:noHBand="0" w:noVBand="1"/>
      </w:tblPr>
      <w:tblGrid>
        <w:gridCol w:w="2065"/>
        <w:gridCol w:w="7650"/>
      </w:tblGrid>
      <w:tr w:rsidR="00DB3448" w14:paraId="3E340E5A" w14:textId="77777777" w:rsidTr="00DB344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5640D45" w14:textId="77777777" w:rsidR="00DB3448" w:rsidRDefault="00DB3448">
            <w:pPr>
              <w:pStyle w:val="NoSpacing"/>
              <w:jc w:val="center"/>
              <w:rPr>
                <w:rFonts w:eastAsia="Times New Roman"/>
                <w:b/>
                <w:color w:val="FFFFFF" w:themeColor="background1"/>
                <w:kern w:val="0"/>
                <w14:ligatures w14:val="none"/>
              </w:rPr>
            </w:pPr>
            <w:r>
              <w:rPr>
                <w:rFonts w:eastAsia="Times New Roman"/>
                <w:b/>
                <w:color w:val="FFFFFF" w:themeColor="background1"/>
                <w:kern w:val="0"/>
                <w14:ligatures w14:val="none"/>
              </w:rPr>
              <w:t>Fee Category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5DDEAB" w14:textId="77777777" w:rsidR="00DB3448" w:rsidRDefault="00DB3448">
            <w:pPr>
              <w:pStyle w:val="NoSpacing"/>
              <w:jc w:val="center"/>
              <w:rPr>
                <w:rFonts w:eastAsia="Times New Roman"/>
                <w:b/>
                <w:color w:val="FFFFFF" w:themeColor="background1"/>
                <w:kern w:val="0"/>
                <w14:ligatures w14:val="none"/>
              </w:rPr>
            </w:pPr>
            <w:r>
              <w:rPr>
                <w:rFonts w:eastAsia="Times New Roman"/>
                <w:b/>
                <w:color w:val="FFFFFF" w:themeColor="background1"/>
                <w:kern w:val="0"/>
                <w14:ligatures w14:val="none"/>
              </w:rPr>
              <w:t>Fee type and description</w:t>
            </w:r>
          </w:p>
        </w:tc>
      </w:tr>
      <w:tr w:rsidR="00DB3448" w14:paraId="55DE6C8F" w14:textId="77777777" w:rsidTr="00DB3448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706E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Appointment violation fees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EB8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No call no show</w:t>
            </w:r>
          </w:p>
          <w:p w14:paraId="1EDE6BE8" w14:textId="49D1F6E9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Supplier Delivered Loads that are a no call/no show to a scheduled</w:t>
            </w:r>
            <w:r w:rsidR="00837E7E">
              <w:rPr>
                <w:rFonts w:eastAsia="Times New Roman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14:ligatures w14:val="none"/>
              </w:rPr>
              <w:t>appointments</w:t>
            </w:r>
          </w:p>
        </w:tc>
      </w:tr>
      <w:tr w:rsidR="00DB3448" w14:paraId="21D60176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9C84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4361" w14:textId="7345BB5F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 xml:space="preserve">Rescheduled &lt;24 </w:t>
            </w:r>
            <w:r w:rsidR="00837E7E">
              <w:rPr>
                <w:rFonts w:eastAsia="Times New Roman"/>
                <w:b/>
                <w:kern w:val="0"/>
                <w14:ligatures w14:val="none"/>
              </w:rPr>
              <w:t>hrs.</w:t>
            </w:r>
          </w:p>
          <w:p w14:paraId="10F1A866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Supplier Delivered Loads are rescheduled with less than 24 </w:t>
            </w:r>
            <w:r>
              <w:rPr>
                <w:rFonts w:eastAsia="Times New Roman"/>
                <w:bCs/>
                <w:kern w:val="0"/>
                <w14:ligatures w14:val="none"/>
              </w:rPr>
              <w:t>hours’</w:t>
            </w:r>
            <w:r>
              <w:rPr>
                <w:rFonts w:eastAsia="Times New Roman"/>
                <w:kern w:val="0"/>
                <w14:ligatures w14:val="none"/>
              </w:rPr>
              <w:t xml:space="preserve"> notice</w:t>
            </w:r>
          </w:p>
        </w:tc>
      </w:tr>
      <w:tr w:rsidR="00DB3448" w14:paraId="611E3B99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CC62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8E23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Unscheduled</w:t>
            </w:r>
          </w:p>
          <w:p w14:paraId="47C4B9F1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Supplier Delivered Loads </w:t>
            </w:r>
            <w:r>
              <w:rPr>
                <w:rFonts w:eastAsia="Times New Roman"/>
                <w:bCs/>
                <w:kern w:val="0"/>
                <w14:ligatures w14:val="none"/>
              </w:rPr>
              <w:t>arrive at UNFI DC without delivery appointments</w:t>
            </w:r>
          </w:p>
        </w:tc>
      </w:tr>
      <w:tr w:rsidR="00DB3448" w14:paraId="67F38B97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4FBF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3331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Late 30+ mins</w:t>
            </w:r>
          </w:p>
          <w:p w14:paraId="6DDD903E" w14:textId="2AAD8FDD" w:rsidR="00DB3448" w:rsidRP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Supplier Delivered Loads </w:t>
            </w:r>
            <w:r>
              <w:rPr>
                <w:rFonts w:eastAsia="Times New Roman"/>
                <w:bCs/>
                <w:kern w:val="0"/>
                <w14:ligatures w14:val="none"/>
              </w:rPr>
              <w:t>late to scheduled appointments by more than 30 mins</w:t>
            </w:r>
          </w:p>
        </w:tc>
      </w:tr>
      <w:tr w:rsidR="00DB3448" w14:paraId="75647238" w14:textId="77777777" w:rsidTr="00DB3448">
        <w:trPr>
          <w:trHeight w:val="1457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FD72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Load Condition Fees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CDE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Pallet Violation Fee</w:t>
            </w:r>
          </w:p>
          <w:p w14:paraId="422DB22A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Pallet does not meet standard set by UNFI</w:t>
            </w:r>
            <w:r>
              <w:rPr>
                <w:rFonts w:eastAsia="Times New Roman"/>
                <w:bCs/>
                <w:kern w:val="0"/>
                <w14:ligatures w14:val="none"/>
              </w:rPr>
              <w:t xml:space="preserve">, failing one or more specifications </w:t>
            </w:r>
          </w:p>
          <w:p w14:paraId="04FCE832" w14:textId="5F74CFD9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Bad Pallet / Unacceptable Pallet, Product overhanging, Items not grouped together</w:t>
            </w:r>
          </w:p>
        </w:tc>
      </w:tr>
      <w:tr w:rsidR="00DB3448" w14:paraId="28DFBA1A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70E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2F89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Freight damaged / shifted</w:t>
            </w:r>
          </w:p>
          <w:p w14:paraId="4BD7979A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Product was not adequately </w:t>
            </w:r>
            <w:r>
              <w:rPr>
                <w:rFonts w:eastAsia="Times New Roman"/>
                <w:bCs/>
                <w:kern w:val="0"/>
                <w14:ligatures w14:val="none"/>
              </w:rPr>
              <w:t>secured</w:t>
            </w:r>
            <w:r>
              <w:rPr>
                <w:rFonts w:eastAsia="Times New Roman"/>
                <w:kern w:val="0"/>
                <w14:ligatures w14:val="none"/>
              </w:rPr>
              <w:t xml:space="preserve"> during transit</w:t>
            </w:r>
            <w:r>
              <w:rPr>
                <w:rFonts w:eastAsia="Times New Roman"/>
                <w:bCs/>
                <w:kern w:val="0"/>
                <w14:ligatures w14:val="none"/>
              </w:rPr>
              <w:t xml:space="preserve">, resulting movement / damage </w:t>
            </w:r>
          </w:p>
        </w:tc>
      </w:tr>
      <w:tr w:rsidR="00DB3448" w14:paraId="4B4B3579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320A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851E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Incomplete / Inaccurate Bill of Lading or Packing Slip</w:t>
            </w:r>
          </w:p>
          <w:p w14:paraId="5AA6C7C8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Shipping documents including Bill of Lading (BOL) or Packing Slip incomplete or inaccurate</w:t>
            </w:r>
          </w:p>
        </w:tc>
      </w:tr>
      <w:tr w:rsidR="00DB3448" w14:paraId="06B529A5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96D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D59A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Placard Missing</w:t>
            </w:r>
          </w:p>
          <w:p w14:paraId="60C147F7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Pallets must be labeled with DC and PO# on the front and back of pallet” </w:t>
            </w:r>
          </w:p>
          <w:p w14:paraId="71F2B275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Charged per pallet for non-compliance</w:t>
            </w:r>
          </w:p>
        </w:tc>
      </w:tr>
      <w:tr w:rsidR="00DB3448" w14:paraId="0F621BF8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4B39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B0F6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UPC Barcode</w:t>
            </w:r>
          </w:p>
          <w:p w14:paraId="1BFE8C89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UPC Barcodes missing and/or unscannable from product/cases</w:t>
            </w:r>
          </w:p>
        </w:tc>
      </w:tr>
      <w:tr w:rsidR="00DB3448" w14:paraId="37B8A261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B569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5F74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Overship</w:t>
            </w:r>
          </w:p>
          <w:p w14:paraId="16FEE524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Product delivered is above confirmed PO quantity</w:t>
            </w:r>
          </w:p>
          <w:p w14:paraId="31F5A49B" w14:textId="77777777" w:rsidR="00DB3448" w:rsidRDefault="00DB3448" w:rsidP="00DB3448">
            <w:pPr>
              <w:pStyle w:val="NoSpacing"/>
              <w:ind w:left="720"/>
              <w:rPr>
                <w:rFonts w:eastAsia="Times New Roman"/>
                <w:bCs/>
                <w:kern w:val="0"/>
                <w14:ligatures w14:val="none"/>
              </w:rPr>
            </w:pPr>
          </w:p>
        </w:tc>
      </w:tr>
      <w:tr w:rsidR="00DB3448" w14:paraId="131C1863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356F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C720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Wrong product / case pack</w:t>
            </w:r>
          </w:p>
          <w:p w14:paraId="118414BC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Product or case pack delivered is incorrect</w:t>
            </w:r>
          </w:p>
        </w:tc>
      </w:tr>
      <w:tr w:rsidR="00DB3448" w14:paraId="08F24D43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4843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F1F5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Unsafe/Unclean trailer</w:t>
            </w:r>
          </w:p>
          <w:p w14:paraId="008EFFA7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Trailer used to deliver product is unsafe or unclean</w:t>
            </w:r>
          </w:p>
        </w:tc>
      </w:tr>
      <w:tr w:rsidR="00DB3448" w14:paraId="42D3D0D4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C188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5A9B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Short Dated Product</w:t>
            </w:r>
          </w:p>
          <w:p w14:paraId="23B3C686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Product sent with less than agreed upon minimum shelf life</w:t>
            </w:r>
          </w:p>
        </w:tc>
      </w:tr>
      <w:tr w:rsidR="00DB3448" w14:paraId="62238923" w14:textId="77777777" w:rsidTr="00DB3448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402A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Service level fees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5B5C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Service Level Assessment (SLA)</w:t>
            </w:r>
          </w:p>
          <w:p w14:paraId="23B69291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Purchase order fulfillment rate on any of the designated Never Out and agreed-upon forecast items declines to 90% or less over a period of 2 weeks or more</w:t>
            </w:r>
          </w:p>
          <w:p w14:paraId="2E219CB8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Overall brand purchase order fulfillment rate falls below 90% for three months or more</w:t>
            </w:r>
          </w:p>
          <w:p w14:paraId="5A8602BA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Lack of a specific plan to return UNFI to 95% or greater overall brand order fulfillment rate and/or 100% purchase order fulfillment rate for Never Out and forecasted items by a specific date.</w:t>
            </w:r>
          </w:p>
        </w:tc>
      </w:tr>
      <w:tr w:rsidR="00DB3448" w14:paraId="7E88BF6D" w14:textId="77777777" w:rsidTr="00DB3448"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F51" w14:textId="77777777" w:rsidR="00DB3448" w:rsidRDefault="00DB3448">
            <w:pPr>
              <w:rPr>
                <w:rFonts w:eastAsia="Times New Roman"/>
                <w:b/>
                <w:kern w:val="0"/>
                <w14:ligatures w14:val="none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A39C" w14:textId="77777777" w:rsidR="00DB3448" w:rsidRDefault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Vendor Caused Lost Sales (VCLS)</w:t>
            </w:r>
          </w:p>
          <w:p w14:paraId="3B065F74" w14:textId="77777777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Customer ordered product that </w:t>
            </w:r>
            <w:r>
              <w:rPr>
                <w:rFonts w:eastAsia="Times New Roman"/>
                <w:bCs/>
                <w:kern w:val="0"/>
                <w14:ligatures w14:val="none"/>
              </w:rPr>
              <w:t>was shorted by supplier</w:t>
            </w:r>
          </w:p>
        </w:tc>
      </w:tr>
      <w:tr w:rsidR="00DB3448" w:rsidRPr="00DB3448" w14:paraId="7A5A295B" w14:textId="77777777" w:rsidTr="00D068A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AA2D" w14:textId="77777777" w:rsidR="00DB3448" w:rsidRDefault="00DB3448" w:rsidP="00D068A3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CLF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4CC" w14:textId="77777777" w:rsidR="00DB3448" w:rsidRDefault="00DB3448" w:rsidP="00D068A3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Costing Letter Fees / Invoice Surcharge</w:t>
            </w:r>
          </w:p>
          <w:p w14:paraId="24AC55A5" w14:textId="77777777" w:rsidR="00DB3448" w:rsidRDefault="00DB3448" w:rsidP="00D068A3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Amount Invoiced by supplier is greater than amount expected by UNFI due to variance in pricing or quantity</w:t>
            </w:r>
          </w:p>
          <w:p w14:paraId="025E6520" w14:textId="77777777" w:rsidR="00DB3448" w:rsidRPr="00DB3448" w:rsidRDefault="00DB3448" w:rsidP="00D068A3">
            <w:pPr>
              <w:pStyle w:val="NoSpacing"/>
              <w:rPr>
                <w:rFonts w:eastAsia="Times New Roman"/>
                <w:bCs/>
                <w:kern w:val="0"/>
                <w14:ligatures w14:val="none"/>
              </w:rPr>
            </w:pPr>
          </w:p>
        </w:tc>
      </w:tr>
      <w:tr w:rsidR="00DB3448" w14:paraId="2A34A8D1" w14:textId="77777777" w:rsidTr="00DB3448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B414" w14:textId="11AC9E9E" w:rsidR="00DB3448" w:rsidRDefault="00DB3448" w:rsidP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All other compliance fees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8E9" w14:textId="77777777" w:rsidR="00DB3448" w:rsidRDefault="00DB3448" w:rsidP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Late Disposition</w:t>
            </w:r>
          </w:p>
          <w:p w14:paraId="2D54B103" w14:textId="0940B43F" w:rsid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Supplier does not remove product from UNFI DCs within specified </w:t>
            </w:r>
            <w:proofErr w:type="gramStart"/>
            <w:r>
              <w:rPr>
                <w:rFonts w:eastAsia="Times New Roman"/>
                <w:bCs/>
                <w:kern w:val="0"/>
                <w14:ligatures w14:val="none"/>
              </w:rPr>
              <w:t>time period</w:t>
            </w:r>
            <w:proofErr w:type="gramEnd"/>
            <w:r>
              <w:rPr>
                <w:rFonts w:eastAsia="Times New Roman"/>
                <w:bCs/>
                <w:kern w:val="0"/>
                <w14:ligatures w14:val="none"/>
              </w:rPr>
              <w:t xml:space="preserve"> (14 days)</w:t>
            </w:r>
          </w:p>
          <w:p w14:paraId="16002B0F" w14:textId="77777777" w:rsidR="00DB3448" w:rsidRDefault="00DB3448" w:rsidP="00DB3448">
            <w:pPr>
              <w:pStyle w:val="NoSpacing"/>
              <w:rPr>
                <w:rFonts w:eastAsia="Times New Roman"/>
                <w:bCs/>
                <w:kern w:val="0"/>
                <w14:ligatures w14:val="none"/>
              </w:rPr>
            </w:pPr>
          </w:p>
          <w:p w14:paraId="31A7B7C0" w14:textId="77777777" w:rsidR="00DB3448" w:rsidRDefault="00DB3448" w:rsidP="00DB3448">
            <w:pPr>
              <w:pStyle w:val="NoSpacing"/>
              <w:rPr>
                <w:rFonts w:eastAsia="Times New Roman"/>
                <w:b/>
                <w:kern w:val="0"/>
                <w14:ligatures w14:val="none"/>
              </w:rPr>
            </w:pPr>
            <w:r>
              <w:rPr>
                <w:rFonts w:eastAsia="Times New Roman"/>
                <w:b/>
                <w:kern w:val="0"/>
                <w14:ligatures w14:val="none"/>
              </w:rPr>
              <w:t>Late Notice Fee</w:t>
            </w:r>
          </w:p>
          <w:p w14:paraId="7F7442D4" w14:textId="0DD1A2CB" w:rsidR="00DB3448" w:rsidRPr="00DB3448" w:rsidRDefault="00DB3448" w:rsidP="00DB344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Supplier does not provide </w:t>
            </w:r>
            <w:proofErr w:type="gramStart"/>
            <w:r>
              <w:rPr>
                <w:rFonts w:eastAsia="Times New Roman"/>
                <w:kern w:val="0"/>
                <w14:ligatures w14:val="none"/>
              </w:rPr>
              <w:t>90 day</w:t>
            </w:r>
            <w:proofErr w:type="gramEnd"/>
            <w:r>
              <w:rPr>
                <w:rFonts w:eastAsia="Times New Roman"/>
                <w:kern w:val="0"/>
                <w14:ligatures w14:val="none"/>
              </w:rPr>
              <w:t xml:space="preserve"> notice on changes </w:t>
            </w:r>
            <w:r>
              <w:rPr>
                <w:rFonts w:eastAsia="Times New Roman"/>
                <w:bCs/>
                <w:kern w:val="0"/>
                <w14:ligatures w14:val="none"/>
              </w:rPr>
              <w:t>including Pack Change, Cost Change, and Pickup Location change</w:t>
            </w:r>
          </w:p>
        </w:tc>
      </w:tr>
    </w:tbl>
    <w:p w14:paraId="454AC76F" w14:textId="77777777" w:rsidR="00DB3448" w:rsidRDefault="00DB3448" w:rsidP="00E82873">
      <w:pPr>
        <w:rPr>
          <w:b/>
          <w:bCs/>
          <w:u w:val="single"/>
        </w:rPr>
      </w:pPr>
    </w:p>
    <w:sectPr w:rsidR="00DB34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96BB" w14:textId="77777777" w:rsidR="00E82873" w:rsidRDefault="00E82873" w:rsidP="00E82873">
      <w:pPr>
        <w:spacing w:after="0" w:line="240" w:lineRule="auto"/>
      </w:pPr>
      <w:r>
        <w:separator/>
      </w:r>
    </w:p>
  </w:endnote>
  <w:endnote w:type="continuationSeparator" w:id="0">
    <w:p w14:paraId="1EBD9AC2" w14:textId="77777777" w:rsidR="00E82873" w:rsidRDefault="00E82873" w:rsidP="00E8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7712" w14:textId="77777777" w:rsidR="00E82873" w:rsidRDefault="00E82873" w:rsidP="00E82873">
      <w:pPr>
        <w:spacing w:after="0" w:line="240" w:lineRule="auto"/>
      </w:pPr>
      <w:r>
        <w:separator/>
      </w:r>
    </w:p>
  </w:footnote>
  <w:footnote w:type="continuationSeparator" w:id="0">
    <w:p w14:paraId="2D87D8F5" w14:textId="77777777" w:rsidR="00E82873" w:rsidRDefault="00E82873" w:rsidP="00E8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65DF" w14:textId="399FF0AC" w:rsidR="00E82873" w:rsidRDefault="00E82873">
    <w:pPr>
      <w:pStyle w:val="Header"/>
    </w:pPr>
    <w:r>
      <w:rPr>
        <w:noProof/>
      </w:rPr>
      <w:drawing>
        <wp:inline distT="0" distB="0" distL="0" distR="0" wp14:anchorId="47E0B6D9" wp14:editId="12D37DCC">
          <wp:extent cx="1235671" cy="552040"/>
          <wp:effectExtent l="0" t="0" r="3175" b="63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10CAF4F6-7234-A641-C201-EBB1AB4DF0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0CAF4F6-7234-A641-C201-EBB1AB4DF0C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5671" cy="55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3BA3"/>
    <w:multiLevelType w:val="multilevel"/>
    <w:tmpl w:val="5C7C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9217A1"/>
    <w:multiLevelType w:val="hybridMultilevel"/>
    <w:tmpl w:val="C37E5E30"/>
    <w:lvl w:ilvl="0" w:tplc="B2805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644"/>
    <w:multiLevelType w:val="multilevel"/>
    <w:tmpl w:val="01A8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037439"/>
    <w:multiLevelType w:val="multilevel"/>
    <w:tmpl w:val="1F5C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25388"/>
    <w:multiLevelType w:val="multilevel"/>
    <w:tmpl w:val="B774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66E7E"/>
    <w:multiLevelType w:val="multilevel"/>
    <w:tmpl w:val="616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3F20F7"/>
    <w:multiLevelType w:val="multilevel"/>
    <w:tmpl w:val="C916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324429">
    <w:abstractNumId w:val="5"/>
  </w:num>
  <w:num w:numId="2" w16cid:durableId="1838230614">
    <w:abstractNumId w:val="3"/>
  </w:num>
  <w:num w:numId="3" w16cid:durableId="401146508">
    <w:abstractNumId w:val="2"/>
  </w:num>
  <w:num w:numId="4" w16cid:durableId="1400711093">
    <w:abstractNumId w:val="4"/>
  </w:num>
  <w:num w:numId="5" w16cid:durableId="172184275">
    <w:abstractNumId w:val="6"/>
  </w:num>
  <w:num w:numId="6" w16cid:durableId="711537018">
    <w:abstractNumId w:val="0"/>
  </w:num>
  <w:num w:numId="7" w16cid:durableId="124421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89"/>
    <w:rsid w:val="00020573"/>
    <w:rsid w:val="000E50D3"/>
    <w:rsid w:val="002320C5"/>
    <w:rsid w:val="00264FBE"/>
    <w:rsid w:val="002A61A3"/>
    <w:rsid w:val="003776A0"/>
    <w:rsid w:val="003E0962"/>
    <w:rsid w:val="004309E4"/>
    <w:rsid w:val="004945FB"/>
    <w:rsid w:val="004963CD"/>
    <w:rsid w:val="004B409B"/>
    <w:rsid w:val="00501B22"/>
    <w:rsid w:val="00514218"/>
    <w:rsid w:val="00545593"/>
    <w:rsid w:val="00600D7B"/>
    <w:rsid w:val="00676489"/>
    <w:rsid w:val="00683E0C"/>
    <w:rsid w:val="006D2757"/>
    <w:rsid w:val="00822F40"/>
    <w:rsid w:val="00831FEC"/>
    <w:rsid w:val="00837E7E"/>
    <w:rsid w:val="00880E46"/>
    <w:rsid w:val="008B3A3B"/>
    <w:rsid w:val="00940999"/>
    <w:rsid w:val="00987AE6"/>
    <w:rsid w:val="00992816"/>
    <w:rsid w:val="009C1241"/>
    <w:rsid w:val="00A56262"/>
    <w:rsid w:val="00A87E92"/>
    <w:rsid w:val="00BC77C2"/>
    <w:rsid w:val="00BD74D6"/>
    <w:rsid w:val="00CB51AC"/>
    <w:rsid w:val="00D75105"/>
    <w:rsid w:val="00D75363"/>
    <w:rsid w:val="00D91B73"/>
    <w:rsid w:val="00DB3448"/>
    <w:rsid w:val="00DC2BAA"/>
    <w:rsid w:val="00E82873"/>
    <w:rsid w:val="00EC6198"/>
    <w:rsid w:val="00F27FFD"/>
    <w:rsid w:val="00F76C94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6792"/>
  <w15:chartTrackingRefBased/>
  <w15:docId w15:val="{65541590-C009-4D9C-BAD8-F770381C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489"/>
    <w:rPr>
      <w:b/>
      <w:bCs/>
    </w:rPr>
  </w:style>
  <w:style w:type="character" w:styleId="Hyperlink">
    <w:name w:val="Hyperlink"/>
    <w:basedOn w:val="DefaultParagraphFont"/>
    <w:uiPriority w:val="99"/>
    <w:unhideWhenUsed/>
    <w:rsid w:val="008B3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A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73"/>
  </w:style>
  <w:style w:type="paragraph" w:styleId="Footer">
    <w:name w:val="footer"/>
    <w:basedOn w:val="Normal"/>
    <w:link w:val="FooterChar"/>
    <w:uiPriority w:val="99"/>
    <w:unhideWhenUsed/>
    <w:rsid w:val="00E8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73"/>
  </w:style>
  <w:style w:type="paragraph" w:styleId="CommentText">
    <w:name w:val="annotation text"/>
    <w:basedOn w:val="Normal"/>
    <w:link w:val="CommentTextChar"/>
    <w:uiPriority w:val="99"/>
    <w:semiHidden/>
    <w:unhideWhenUsed/>
    <w:rsid w:val="00DB34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448"/>
    <w:rPr>
      <w:kern w:val="2"/>
      <w:sz w:val="20"/>
      <w:szCs w:val="20"/>
      <w14:ligatures w14:val="standardContextual"/>
    </w:rPr>
  </w:style>
  <w:style w:type="paragraph" w:styleId="NoSpacing">
    <w:name w:val="No Spacing"/>
    <w:uiPriority w:val="1"/>
    <w:qFormat/>
    <w:rsid w:val="00DB3448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B3448"/>
    <w:rPr>
      <w:sz w:val="16"/>
      <w:szCs w:val="16"/>
    </w:rPr>
  </w:style>
  <w:style w:type="table" w:styleId="TableGrid">
    <w:name w:val="Table Grid"/>
    <w:basedOn w:val="TableNormal"/>
    <w:uiPriority w:val="39"/>
    <w:rsid w:val="00DB344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plianceportal.capstonelogisti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Kolmale, Shukri</dc:creator>
  <cp:keywords/>
  <dc:description/>
  <cp:lastModifiedBy>May, Aaron</cp:lastModifiedBy>
  <cp:revision>10</cp:revision>
  <dcterms:created xsi:type="dcterms:W3CDTF">2024-03-26T14:56:00Z</dcterms:created>
  <dcterms:modified xsi:type="dcterms:W3CDTF">2024-04-19T15:00:00Z</dcterms:modified>
</cp:coreProperties>
</file>